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40CB6">
      <w:pPr>
        <w:pStyle w:val="2"/>
      </w:pPr>
      <w:r>
        <w:t>TRẠI GIAM</w:t>
      </w:r>
    </w:p>
    <w:p w14:paraId="415CA5A7">
      <w:pPr>
        <w:spacing w:before="120" w:after="120" w:line="400" w:lineRule="exact"/>
        <w:ind w:firstLine="709"/>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cơ quan thi hành án phạt tù, nơi tổ chức quản lý, giam giữ và giáo dục cải tạo phạm nhân (người đang chấp hành án phạt tù có thời hạn, tù chung thân). </w:t>
      </w:r>
    </w:p>
    <w:p w14:paraId="1A4BC4D9">
      <w:pPr>
        <w:spacing w:before="120" w:after="120" w:line="400" w:lineRule="exact"/>
        <w:ind w:firstLine="709"/>
        <w:jc w:val="both"/>
        <w:rPr>
          <w:rFonts w:eastAsia="Times New Roman" w:cs="Times New Roman"/>
          <w:color w:val="000000"/>
          <w:szCs w:val="28"/>
        </w:rPr>
      </w:pPr>
      <w:r>
        <w:rPr>
          <w:rFonts w:eastAsia="Times New Roman" w:cs="Times New Roman"/>
          <w:szCs w:val="28"/>
        </w:rPr>
        <w:t>Theo Nghị định s</w:t>
      </w:r>
      <w:r>
        <w:rPr>
          <w:rFonts w:eastAsia="Calibri" w:cs="Times New Roman"/>
          <w:color w:val="000000"/>
          <w:szCs w:val="28"/>
          <w:shd w:val="clear" w:color="auto" w:fill="FFFFFF"/>
        </w:rPr>
        <w:t xml:space="preserve">ố 133/2020/NĐ-CP ngày 9.11.2020 của Chính phủ quy định chi tiết một số điều của Luật Thi hành án hình sự, các TG do Bộ Công an và Bộ Quốc phòng trực tiếp quản lý. Trong đó, </w:t>
      </w:r>
      <w:r>
        <w:rPr>
          <w:rFonts w:eastAsia="Times New Roman" w:cs="Times New Roman"/>
          <w:color w:val="000000"/>
          <w:szCs w:val="28"/>
        </w:rPr>
        <w:t>Bộ trưởng Bộ Công an chịu trách nhiệm quản lý hệ thống tổ chức, biên chế và hoạt động của TG; quyết định việc thành lập, giải thể, sáp nhập, quản lý TG, phân TG trong TG; ban hành danh mục, tiêu chuẩn, định mức xây dựng các hạng mục công trình TG, hệ thống kiểm soát an ninh của TG thuộc Bộ Công an quản lý; Bộ trưởng Bộ Quốc phòng chịu trách nhiệm quản lý hệ thống tổ chức, biên chế và hoạt động của TG; quyết định việc thành lập, giải thể, sáp nhập, quản lý TG, phân TG trong TG; ban hành danh mục, tiêu chuẩn, định mức xây dựng các hạng mục công trình TG, hệ thống kiểm soát an ninh của TG thuộc Bộ Quốc phòng quản lý.</w:t>
      </w:r>
    </w:p>
    <w:p w14:paraId="67CB6FC1">
      <w:pPr>
        <w:spacing w:before="120" w:after="120" w:line="400" w:lineRule="exact"/>
        <w:ind w:firstLine="709"/>
        <w:jc w:val="both"/>
        <w:rPr>
          <w:rFonts w:eastAsia="Calibri" w:cs="Times New Roman"/>
          <w:color w:val="000000"/>
          <w:szCs w:val="28"/>
        </w:rPr>
      </w:pPr>
      <w:r>
        <w:rPr>
          <w:rFonts w:eastAsia="Calibri" w:cs="Times New Roman"/>
          <w:color w:val="000000"/>
          <w:szCs w:val="28"/>
          <w:lang w:val="vi-VN"/>
        </w:rPr>
        <w:t>TG có nhiệm vụ, quyền hạn: Tiếp nhận, tổ chức quản lý giam giữ, giáo dục cải tạo phạm nhân; Thông báo cho thân nhân của phạm nhân về việc tiếp nhận phạm nhân và tình hình chấp hành án của người đó; Đề nghị Toà án có thẩm quyền xem xét, quyết định giảm thời hạn chấp hành án phạt tù, tạm đình chỉ chấp hành án phạt tù, tha tù trước thời hạn có điều kiện đối với phạm nhân theo quy định của pháp luật; Thực hiện lệnh trích xuất của cơ quan, người có thẩm quyền; Nhận tài sản, tiền mà phạm nhân, thân nhân của phạm nhân tự nguyện nộp tại TG để thi hành án, chuyển cho cơ quan thi hành án dân sự nơi Toà án đã xét xử sơ thẩm vụ án có trụ sở hoặc cơ quan thi hành án dân sự được uỷ thác thi hành án; nhận tài sản, tiền do cơ quan thi hành án dân sự chuyển đến để giao cho phạm nhân theo quy định của Luật Thi hành án dân sự; Phối hợp với cơ quan thi hành án dân sự trong việc cung cấp thông tin về nơi chấp hành án phạt tù và việc thực hiện quyền, nghĩa vụ dân sự của phạm nhân, thông tin nơi về cư trú của người chấp hành xong án phạt tù, người được đặc xá, người được miễn chấp hành án phạt tù, người được tha tù trước thời hạn có điều kiện; chuyển giao giấy tờ có liên quan đến phạm nhân phải thi hành hình phạt tiền, tịch thu tài sản, các nghĩa vụ dân sự; Cấp giấy chứng nhận chấp hành xong án phạt tù,</w:t>
      </w:r>
      <w:r>
        <w:rPr>
          <w:rFonts w:eastAsia="Calibri" w:cs="Times New Roman"/>
          <w:b/>
          <w:bCs/>
          <w:color w:val="000000"/>
          <w:szCs w:val="28"/>
          <w:lang w:val="vi-VN"/>
        </w:rPr>
        <w:t> </w:t>
      </w:r>
      <w:r>
        <w:rPr>
          <w:rFonts w:eastAsia="Calibri" w:cs="Times New Roman"/>
          <w:color w:val="000000"/>
          <w:szCs w:val="28"/>
          <w:lang w:val="vi-VN"/>
        </w:rPr>
        <w:t>giấy chứng nhận tha tù trước thời hạn có điều kiện; Làm thủ tục giải quyết trường hợp phạm nhân chết; Áp giải, bàn giao phạm nhân là người nước ngoài theo quyết định của Toà án về việc chuyển giao người đang chấp hành án phạt tù; tiếp nhận, tổ chức quản lý giam giữ, giáo dục cải tạo phạm nhân là công dân Việt Nam phạm tội và bị kết án phạt tù ở nước ngoài được chuyển giao về Việt Nam để chấp hành án; thực hiện các quy định của Luật</w:t>
      </w:r>
      <w:r>
        <w:rPr>
          <w:rFonts w:eastAsia="Calibri" w:cs="Times New Roman"/>
          <w:color w:val="000000"/>
          <w:szCs w:val="28"/>
        </w:rPr>
        <w:t xml:space="preserve"> Thi hành án hình sự</w:t>
      </w:r>
      <w:r>
        <w:rPr>
          <w:rFonts w:eastAsia="Calibri" w:cs="Times New Roman"/>
          <w:color w:val="000000"/>
          <w:szCs w:val="28"/>
          <w:lang w:val="vi-VN"/>
        </w:rPr>
        <w:t xml:space="preserve"> về thi hành án phạt trục xuất; Thực hiện thống kê, báo cáo về thi hành án</w:t>
      </w:r>
      <w:r>
        <w:rPr>
          <w:rFonts w:eastAsia="Calibri" w:cs="Times New Roman"/>
          <w:b/>
          <w:bCs/>
          <w:color w:val="000000"/>
          <w:szCs w:val="28"/>
          <w:lang w:val="vi-VN"/>
        </w:rPr>
        <w:t> </w:t>
      </w:r>
      <w:r>
        <w:rPr>
          <w:rFonts w:eastAsia="Calibri" w:cs="Times New Roman"/>
          <w:color w:val="000000"/>
          <w:szCs w:val="28"/>
          <w:lang w:val="vi-VN"/>
        </w:rPr>
        <w:t>phạt tù; Thực hiện nhiệm vụ, quyền hạn khác theo quy định của pháp luật.</w:t>
      </w:r>
    </w:p>
    <w:p w14:paraId="028B1E6D">
      <w:pPr>
        <w:shd w:val="clear" w:color="auto" w:fill="FFFFFF"/>
        <w:spacing w:before="120" w:after="120" w:line="400" w:lineRule="exact"/>
        <w:ind w:firstLine="709"/>
        <w:jc w:val="both"/>
        <w:rPr>
          <w:rFonts w:eastAsia="Times New Roman" w:cs="Times New Roman"/>
          <w:color w:val="000000"/>
          <w:szCs w:val="28"/>
          <w:lang w:val="vi-VN"/>
        </w:rPr>
      </w:pPr>
      <w:r>
        <w:rPr>
          <w:rFonts w:eastAsia="Times New Roman" w:cs="Times New Roman"/>
          <w:color w:val="000000"/>
          <w:szCs w:val="28"/>
          <w:lang w:val="vi-VN"/>
        </w:rPr>
        <w:t xml:space="preserve">TG có phân trại, khu giam giữ, nhà giam; công trình phục vụ việc quản lý giam giữ, học tập, sinh hoạt, chăm sóc y tế; khu lao động, dạy nghề do TG quản lý; công trình phục vụ làm việc, sinh hoạt của sĩ quan, quân nhân chuyên nghiệp, hạ sĩ quan, chiến sĩ, công nhân công tác tại TG. </w:t>
      </w:r>
    </w:p>
    <w:p w14:paraId="2E1AF0E0">
      <w:pPr>
        <w:shd w:val="clear" w:color="auto" w:fill="FFFFFF"/>
        <w:spacing w:before="120" w:after="120" w:line="400" w:lineRule="exact"/>
        <w:ind w:firstLine="709"/>
        <w:jc w:val="both"/>
        <w:rPr>
          <w:rFonts w:eastAsia="Times New Roman" w:cs="Times New Roman"/>
          <w:color w:val="000000"/>
          <w:spacing w:val="-6"/>
          <w:szCs w:val="28"/>
        </w:rPr>
      </w:pPr>
      <w:r>
        <w:rPr>
          <w:rFonts w:eastAsia="Times New Roman" w:cs="Times New Roman"/>
          <w:color w:val="000000"/>
          <w:spacing w:val="-6"/>
          <w:szCs w:val="28"/>
        </w:rPr>
        <w:t xml:space="preserve">Phân TG thuộc TG có nhiệm vụ tổ chức quản lý, giam giữ, giáo dục cải tạo phạm nhân theo đúng đường lối của Đảng, chính sách pháp luật của Nhà nước. </w:t>
      </w:r>
    </w:p>
    <w:p w14:paraId="5A977A79">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 xml:space="preserve">Khu giam giữ thuộc phân TG, gồm: Khu giam giữ đối với phạm nhân có mức án tù trên 15 năm, tù chung thân, phạm nhân thuộc trường hợp tái phạm nguy hiểm; Khu giam giữ đối với phạm nhân có mức án tù từ 15 năm trở xuống; phạm nhân có mức án tù trên 15 năm đã được giảm án và thời hạn chấp hành án phạt tù còn lại dưới 15 năm; phạm nhân thuộc trường hợp tái phạm nguy hiểm, đã chấp hành một phần hai thời hạn chấp hành án phạt tù và đã được giảm thời hạn chấp hành án phạt tù. </w:t>
      </w:r>
    </w:p>
    <w:p w14:paraId="00424E2D">
      <w:pPr>
        <w:shd w:val="clear" w:color="auto" w:fill="FFFFFF"/>
        <w:spacing w:before="120" w:after="120" w:line="400" w:lineRule="exact"/>
        <w:ind w:firstLine="709"/>
        <w:jc w:val="both"/>
        <w:rPr>
          <w:rFonts w:eastAsia="Times New Roman" w:cs="Times New Roman"/>
          <w:color w:val="000000"/>
          <w:spacing w:val="-4"/>
          <w:szCs w:val="28"/>
        </w:rPr>
      </w:pPr>
      <w:r>
        <w:rPr>
          <w:rFonts w:eastAsia="Times New Roman" w:cs="Times New Roman"/>
          <w:color w:val="000000"/>
          <w:spacing w:val="-4"/>
          <w:szCs w:val="28"/>
        </w:rPr>
        <w:t xml:space="preserve">Nhà giam, gồm: Nhà giam chung, mỗi buồng giam giam giữ không quá 50 phạm nhân; Nhà giam riêng, mỗi buồng giam giam giữ không quá 08 phạm nhân; Nhà kỷ luật, mỗi buồng giam giam giữ không quá 02 phạm nhân bị kỷ luật. </w:t>
      </w:r>
    </w:p>
    <w:p w14:paraId="0ABDBC23">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 xml:space="preserve">Các công trình phục vụ, gồm: Công trình phục vụ lao động, học tập, sinh hoạt, chăm sóc y tế; giáo dục cải tạo, hướng nghiệp, dạy nghề cho phạm nhân; Công trình phục vụ làm việc, học tập, sinh hoạt và các điều kiện khác cho sĩ quan, hạ sĩ quan, chiến sĩ, quân nhân chuyên nghiệp, công nhân Công an, công nhân viên Quốc phòng công tác tại TG. </w:t>
      </w:r>
    </w:p>
    <w:p w14:paraId="2BE74F81">
      <w:pPr>
        <w:shd w:val="clear" w:color="auto" w:fill="FFFFFF"/>
        <w:spacing w:before="120" w:after="120" w:line="400" w:lineRule="exact"/>
        <w:ind w:firstLine="709"/>
        <w:jc w:val="both"/>
        <w:rPr>
          <w:rFonts w:eastAsia="Times New Roman" w:cs="Times New Roman"/>
          <w:color w:val="000000"/>
          <w:spacing w:val="-2"/>
          <w:szCs w:val="28"/>
        </w:rPr>
      </w:pPr>
      <w:r>
        <w:rPr>
          <w:rFonts w:eastAsia="Times New Roman" w:cs="Times New Roman"/>
          <w:color w:val="000000"/>
          <w:spacing w:val="-2"/>
          <w:szCs w:val="28"/>
        </w:rPr>
        <w:t>Khu lao động, dạy nghề, gồm: Khu lao động, dạy nghề cho phạm nhân do TG đầu tư xây dựng, trực tiếp quản lý; Khu lao động, dạy nghề cho phạm nhân do tổ chức, cá nhân đầu tư xây dựng trong khu vực đất do TG quản lý và bàn giao cho TG trực tiếp quản lý, sử dụng trong thời gian hợp tác. Khu lao động, dạy nghề có nhiệm vụ tổ chức quản lý, giam giữ, giáo dục, lao động, dạy nghề cho phạm nhân theo đúng quy định của pháp luật. Khu lao động, dạy nghề có các hạng mục công trình sau: Nhà giam giữ phạm nhân được xây dựng kiên cố, chắc chắn đảm bảo an ninh, an toàn theo quy định của Bộ Công an, Bộ Quốc phòng; Công trình phục vụ học tập, sinh hoạt, chăm sóc y tế; giáo dục, lao động, dạy nghề cho phạm nhân; Công trình phục vụ làm việc, học tập, sinh hoạt và các điều kiện khác cho sĩ quan, hạ sĩ quan, chiến sĩ, quân nhân chuyên nghiệp, công nhân Công an, công nhân viên quốc phòng công tác tại khu lao động, hướng nghiệp, dạy nghề. Cơ quan quản lý thi hành án hình sự thuộc Bộ Công an, Cơ quan quản lý thi hành án hình sự thuộc Bộ Quốc phòng chịu trách nhiệm quản lý hệ thống tổ chức, biên chế và hoạt động của khu lao động, dạy nghề; quyết định việc thành lập, giải thể, sáp nhập, quản lý của khu lao động, dạy nghề quy định của pháp luật.</w:t>
      </w:r>
    </w:p>
    <w:p w14:paraId="63E1BFF9">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lang w:val="vi-VN"/>
        </w:rPr>
        <w:t>Tổ chức bộ máy quản lý của TG gồm có Giám thị, Phó Giám thị, Trưởng phân trại, Phó trưởng phân trại, Đội trưởng, Phó đội trưởng; sĩ quan, quân nhân chuyên nghiệp, hạ sĩ quan; chiến sĩ và công nhân</w:t>
      </w:r>
      <w:r>
        <w:rPr>
          <w:rFonts w:eastAsia="Times New Roman" w:cs="Times New Roman"/>
          <w:color w:val="000000"/>
          <w:szCs w:val="28"/>
        </w:rPr>
        <w:t xml:space="preserve"> Công an, công nhân viên Quốc phòng. </w:t>
      </w:r>
      <w:r>
        <w:rPr>
          <w:rFonts w:eastAsia="Times New Roman" w:cs="Times New Roman"/>
          <w:color w:val="000000"/>
          <w:szCs w:val="28"/>
          <w:lang w:val="vi-VN"/>
        </w:rPr>
        <w:t>Giám thị, Phó Giám thị, Trưởng phân trại, Phó trưởng phân trại, Đội trưởng, Phó đội trưởng</w:t>
      </w:r>
      <w:r>
        <w:rPr>
          <w:rFonts w:eastAsia="Times New Roman" w:cs="Times New Roman"/>
          <w:b/>
          <w:bCs/>
          <w:color w:val="000000"/>
          <w:szCs w:val="28"/>
          <w:lang w:val="vi-VN"/>
        </w:rPr>
        <w:t> </w:t>
      </w:r>
      <w:r>
        <w:rPr>
          <w:rFonts w:eastAsia="Times New Roman" w:cs="Times New Roman"/>
          <w:color w:val="000000"/>
          <w:szCs w:val="28"/>
          <w:lang w:val="vi-VN"/>
        </w:rPr>
        <w:t xml:space="preserve">phải là người có trình độ đại học cảnh sát, đại học an ninh hoặc cử nhân luật trở lên và bảo đảm các tiêu chuẩn khác </w:t>
      </w:r>
      <w:r>
        <w:rPr>
          <w:rFonts w:eastAsia="Times New Roman" w:cs="Times New Roman"/>
          <w:color w:val="000000"/>
          <w:szCs w:val="28"/>
        </w:rPr>
        <w:t>và bảo đảm các tiêu chuẩn khác theo quy định của Bộ Công an, Bộ Quốc phòng.</w:t>
      </w:r>
    </w:p>
    <w:p w14:paraId="668EA648">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TG phải được canh gác, bảo vệ, quản lý, kiểm tra, giám sát 24/24 giờ trong ngày theo quy trình khép kín do pháp luật quy định nhằm phòng ngừa, phát hiện, ngăn chặn và trấp áp kịp thời mọi hành động gây rối, chống phá, bạo loạn, cướp vũ khí, ám hại cán bộ, trốn khỏi nơi giam và các hành vi khác vi phạm pháp luật, vi phạm nội quy TG của phạm nhân.</w:t>
      </w:r>
    </w:p>
    <w:p w14:paraId="098E1331">
      <w:pPr>
        <w:shd w:val="clear" w:color="auto" w:fill="FFFFFF"/>
        <w:spacing w:before="120" w:after="120" w:line="400" w:lineRule="exact"/>
        <w:ind w:firstLine="709"/>
        <w:jc w:val="both"/>
        <w:rPr>
          <w:rFonts w:eastAsia="Times New Roman" w:cs="Times New Roman"/>
          <w:color w:val="000000"/>
          <w:spacing w:val="-4"/>
          <w:szCs w:val="28"/>
        </w:rPr>
      </w:pPr>
      <w:r>
        <w:rPr>
          <w:rFonts w:eastAsia="Times New Roman" w:cs="Times New Roman"/>
          <w:color w:val="000000"/>
          <w:spacing w:val="-4"/>
          <w:szCs w:val="28"/>
          <w:shd w:val="clear" w:color="auto" w:fill="FFFFFF"/>
        </w:rPr>
        <w:t>TG phải xây dựng chương trình, kế hoạch, nội dung, thời gian, địa điểm tổ chức phổ biến, giáo dục pháp luật, giáo dục công dân theo các giai đoạn chấp hành án phạt tù cho phạm nhân.</w:t>
      </w:r>
      <w:r>
        <w:rPr>
          <w:rFonts w:eastAsia="Times New Roman" w:cs="Times New Roman"/>
          <w:color w:val="000000"/>
          <w:spacing w:val="-4"/>
          <w:szCs w:val="28"/>
        </w:rPr>
        <w:t xml:space="preserve"> Tổ chức tuyên truyền, giáo dục, phổ biến thông tin cho phạm nhân về các chủ trương, đường lối của Đảng, chính sách, pháp luật của Nhà nước; những thành tựu phát triển kinh tế, văn hoá, xã hội, các sự kiện lịch sử, chính trị, kinh tế, xã hội nhân kỷ niệm các ngày lễ lớn trong năm của đất nước và của địa phương. Việc tuyên truyền, phổ biến, giáo dục pháp luật nhằm phục vụ yêu cầu, nhiệm vụ giáo dục cải tạo phạm nhân, hỗ trợ tái hoà nhập cộng đồng.</w:t>
      </w:r>
    </w:p>
    <w:p w14:paraId="2A82FC05">
      <w:pPr>
        <w:shd w:val="clear" w:color="auto" w:fill="FFFFFF"/>
        <w:spacing w:before="120" w:after="120" w:line="400" w:lineRule="exact"/>
        <w:ind w:firstLine="709"/>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TG tổ chức dạy chương trình xoá mù chữ cho phạm nhân chưa biết chữ hoặc tái mù chữ. Đối với phạm nhân là người dưới 18 tuổi chưa biết chữ hoặc chưa học xong chương trình tiểu học thì thực hiện phổ cập giáo dục tiểu học là bắt buộc; chưa học xong trung học cơ sở thì căn cứ hồ sơ phạm nhân, học bạ để tổ chức dạy chương trình giáo dục thường xuyên cấp trung học cơ sở phù hợp với điều kiện của từng trại. Khuyến khích phạm nhân tự học văn hoá, phạm nhân là người nước ngoài, người dân tộc thiểu số chưa biết tiếng Việt tự nghiên cứu, học tập tiếng Việt. Phạm nhân đang học văn hoá mà hết thời hạn chấp hành án phạt tù, thì được bảo lưu kết quả học tập để có thể tiếp tục học tại các cơ sở giáo dục trong hệ thống giáo dục quốc dân.</w:t>
      </w:r>
    </w:p>
    <w:p w14:paraId="7E0B0EA6">
      <w:pPr>
        <w:shd w:val="clear" w:color="auto" w:fill="FFFFFF"/>
        <w:spacing w:before="120" w:after="120" w:line="400" w:lineRule="exact"/>
        <w:ind w:firstLine="709"/>
        <w:jc w:val="both"/>
        <w:rPr>
          <w:rFonts w:eastAsia="Times New Roman" w:cs="Times New Roman"/>
          <w:i/>
          <w:color w:val="000000"/>
          <w:szCs w:val="28"/>
        </w:rPr>
      </w:pPr>
      <w:r>
        <w:rPr>
          <w:rFonts w:eastAsia="Times New Roman" w:cs="Times New Roman"/>
          <w:color w:val="000000"/>
          <w:szCs w:val="28"/>
        </w:rPr>
        <w:t xml:space="preserve">Căn cứ vào khả năng, trình độ văn hoá, sức khoẻ, giới tính của phạm nhân, thị trường lao động, điều kiện cụ thể và khả năng hợp tác với tổ chức, cá nhân, TG tổ chức dạy những nghề phổ thông, đơn giản hoặc tổ chức bồi dưỡng nâng cao tay nghề cho phạm nhân; TG hợp tác với các cơ sở giáo dục nghề nghiệp hoặc trung tâm giáo dục nghề nghiệp (có tư cách pháp nhân theo quy định của pháp luật) để tổ chức dạy nghề, nâng cao tay nghề, truyền nghề cho phạm nhân. </w:t>
      </w:r>
      <w:r>
        <w:rPr>
          <w:rFonts w:eastAsia="Times New Roman" w:cs="Times New Roman"/>
          <w:i/>
          <w:color w:val="000000"/>
          <w:szCs w:val="28"/>
        </w:rPr>
        <w:t>Xt. Phạm nhân; Cơ sở giam giữ phạm nhân</w:t>
      </w:r>
    </w:p>
    <w:p w14:paraId="093DF769">
      <w:pPr>
        <w:spacing w:before="120" w:after="120" w:line="400" w:lineRule="exact"/>
        <w:ind w:firstLine="709"/>
        <w:jc w:val="right"/>
        <w:rPr>
          <w:rFonts w:eastAsia="Times New Roman" w:cs="Times New Roman"/>
          <w:b/>
          <w:bCs/>
          <w:iCs/>
          <w:color w:val="000000"/>
          <w:sz w:val="24"/>
          <w:szCs w:val="28"/>
        </w:rPr>
      </w:pPr>
      <w:r>
        <w:rPr>
          <w:rFonts w:eastAsia="Times New Roman" w:cs="Times New Roman"/>
          <w:b/>
          <w:bCs/>
          <w:iCs/>
          <w:color w:val="000000"/>
          <w:sz w:val="24"/>
          <w:szCs w:val="28"/>
        </w:rPr>
        <w:t>TỪ KIM NGÂN</w:t>
      </w:r>
    </w:p>
    <w:p w14:paraId="2949296C">
      <w:pPr>
        <w:pStyle w:val="3"/>
      </w:pPr>
      <w:bookmarkStart w:id="0" w:name="_Toc92793441"/>
      <w:r>
        <w:t>Tài liệu tham khảo</w:t>
      </w:r>
      <w:bookmarkEnd w:id="0"/>
    </w:p>
    <w:p w14:paraId="76C6E980">
      <w:pPr>
        <w:numPr>
          <w:ilvl w:val="0"/>
          <w:numId w:val="1"/>
        </w:numPr>
        <w:tabs>
          <w:tab w:val="left" w:pos="1170"/>
        </w:tabs>
        <w:spacing w:before="120" w:after="120" w:line="400" w:lineRule="exact"/>
        <w:ind w:left="0" w:firstLine="907"/>
        <w:jc w:val="both"/>
        <w:rPr>
          <w:rFonts w:eastAsia="Calibri" w:cs="Times New Roman"/>
          <w:iCs/>
          <w:color w:val="222222"/>
          <w:sz w:val="24"/>
          <w:szCs w:val="24"/>
          <w:shd w:val="clear" w:color="auto" w:fill="FFFFFF"/>
        </w:rPr>
      </w:pPr>
      <w:r>
        <w:rPr>
          <w:rFonts w:eastAsia="Calibri" w:cs="Times New Roman"/>
          <w:iCs/>
          <w:color w:val="363636"/>
          <w:sz w:val="24"/>
          <w:szCs w:val="24"/>
        </w:rPr>
        <w:t xml:space="preserve">Bộ Công an, </w:t>
      </w:r>
      <w:r>
        <w:rPr>
          <w:rFonts w:eastAsia="Calibri" w:cs="Times New Roman"/>
          <w:i/>
          <w:iCs/>
          <w:color w:val="363636"/>
          <w:sz w:val="24"/>
          <w:szCs w:val="24"/>
        </w:rPr>
        <w:t xml:space="preserve">Thông tư số </w:t>
      </w:r>
      <w:r>
        <w:rPr>
          <w:rFonts w:eastAsia="Calibri" w:cs="Times New Roman"/>
          <w:i/>
          <w:color w:val="363636"/>
          <w:sz w:val="24"/>
          <w:szCs w:val="24"/>
          <w:shd w:val="clear" w:color="auto" w:fill="FFFFFF"/>
        </w:rPr>
        <w:t xml:space="preserve">06/2018/TT-BCA </w:t>
      </w:r>
      <w:r>
        <w:rPr>
          <w:rFonts w:eastAsia="Calibri" w:cs="Times New Roman"/>
          <w:i/>
          <w:iCs/>
          <w:color w:val="363636"/>
          <w:sz w:val="24"/>
          <w:szCs w:val="24"/>
        </w:rPr>
        <w:t>ngày 12.02.2018 quy định tiêu chuẩn thi đua trong chấp hành án phạt tù và xếp loại chấp hành án phạt tù cho phạm nhân.</w:t>
      </w:r>
    </w:p>
    <w:p w14:paraId="47F8C877">
      <w:pPr>
        <w:numPr>
          <w:ilvl w:val="0"/>
          <w:numId w:val="1"/>
        </w:numPr>
        <w:tabs>
          <w:tab w:val="left" w:pos="1170"/>
        </w:tabs>
        <w:spacing w:before="120" w:after="120" w:line="400" w:lineRule="exact"/>
        <w:ind w:left="0" w:firstLine="907"/>
        <w:jc w:val="both"/>
        <w:rPr>
          <w:rFonts w:eastAsia="Calibri" w:cs="Times New Roman"/>
          <w:iCs/>
          <w:color w:val="000000"/>
          <w:sz w:val="24"/>
          <w:szCs w:val="24"/>
          <w:shd w:val="clear" w:color="auto" w:fill="FFFFFF"/>
          <w:lang w:val="vi-VN"/>
        </w:rPr>
      </w:pPr>
      <w:r>
        <w:rPr>
          <w:rFonts w:eastAsia="Calibri" w:cs="Times New Roman"/>
          <w:iCs/>
          <w:color w:val="222222"/>
          <w:sz w:val="24"/>
          <w:szCs w:val="24"/>
          <w:shd w:val="clear" w:color="auto" w:fill="FFFFFF"/>
        </w:rPr>
        <w:t xml:space="preserve">Bộ Công an, </w:t>
      </w:r>
      <w:r>
        <w:rPr>
          <w:rFonts w:eastAsia="Calibri" w:cs="Times New Roman"/>
          <w:i/>
          <w:iCs/>
          <w:color w:val="222222"/>
          <w:sz w:val="24"/>
          <w:szCs w:val="24"/>
          <w:shd w:val="clear" w:color="auto" w:fill="FFFFFF"/>
        </w:rPr>
        <w:t xml:space="preserve">Thông tư số </w:t>
      </w:r>
      <w:r>
        <w:rPr>
          <w:rFonts w:eastAsia="Calibri" w:cs="Times New Roman"/>
          <w:i/>
          <w:color w:val="222222"/>
          <w:sz w:val="24"/>
          <w:szCs w:val="24"/>
          <w:shd w:val="clear" w:color="auto" w:fill="FFFFFF"/>
        </w:rPr>
        <w:t xml:space="preserve">10/2020/TT-BCA ngày 06.02.2020 </w:t>
      </w:r>
      <w:r>
        <w:rPr>
          <w:rFonts w:eastAsia="Calibri" w:cs="Times New Roman"/>
          <w:i/>
          <w:iCs/>
          <w:color w:val="222222"/>
          <w:sz w:val="24"/>
          <w:szCs w:val="24"/>
          <w:shd w:val="clear" w:color="auto" w:fill="FFFFFF"/>
        </w:rPr>
        <w:t>quy định về đồ vật cấm đưa vào cơ sở giam giữ phạm nhân và việc thu giữ, xử lý đồ vật cấm</w:t>
      </w:r>
    </w:p>
    <w:p w14:paraId="2E2F458A">
      <w:pPr>
        <w:numPr>
          <w:ilvl w:val="0"/>
          <w:numId w:val="1"/>
        </w:numPr>
        <w:tabs>
          <w:tab w:val="left" w:pos="1170"/>
        </w:tabs>
        <w:spacing w:before="120" w:after="120" w:line="400" w:lineRule="exact"/>
        <w:ind w:left="0" w:firstLine="907"/>
        <w:jc w:val="both"/>
        <w:rPr>
          <w:rFonts w:eastAsia="Calibri" w:cs="Times New Roman"/>
          <w:color w:val="000000"/>
          <w:sz w:val="24"/>
          <w:szCs w:val="24"/>
          <w:shd w:val="clear" w:color="auto" w:fill="FFFFFF"/>
        </w:rPr>
      </w:pPr>
      <w:r>
        <w:rPr>
          <w:rFonts w:eastAsia="Calibri" w:cs="Times New Roman"/>
          <w:iCs/>
          <w:color w:val="000000"/>
          <w:sz w:val="24"/>
          <w:szCs w:val="24"/>
          <w:shd w:val="clear" w:color="auto" w:fill="FFFFFF"/>
        </w:rPr>
        <w:t xml:space="preserve">Bộ Công an, </w:t>
      </w:r>
      <w:r>
        <w:rPr>
          <w:rFonts w:eastAsia="Calibri" w:cs="Times New Roman"/>
          <w:i/>
          <w:iCs/>
          <w:color w:val="000000"/>
          <w:sz w:val="24"/>
          <w:szCs w:val="24"/>
          <w:shd w:val="clear" w:color="auto" w:fill="FFFFFF"/>
          <w:lang w:val="vi-VN"/>
        </w:rPr>
        <w:t xml:space="preserve">Thông tư </w:t>
      </w:r>
      <w:r>
        <w:rPr>
          <w:rFonts w:eastAsia="Calibri" w:cs="Times New Roman"/>
          <w:i/>
          <w:iCs/>
          <w:color w:val="000000"/>
          <w:sz w:val="24"/>
          <w:szCs w:val="24"/>
          <w:shd w:val="clear" w:color="auto" w:fill="FFFFFF"/>
        </w:rPr>
        <w:t xml:space="preserve">số </w:t>
      </w:r>
      <w:r>
        <w:rPr>
          <w:rFonts w:eastAsia="Calibri" w:cs="Times New Roman"/>
          <w:i/>
          <w:color w:val="222222"/>
          <w:sz w:val="24"/>
          <w:szCs w:val="24"/>
          <w:shd w:val="clear" w:color="auto" w:fill="FFFFFF"/>
        </w:rPr>
        <w:t xml:space="preserve">14/2020/TT-BCA ngày 10.02.2020 </w:t>
      </w:r>
      <w:r>
        <w:rPr>
          <w:rFonts w:eastAsia="Calibri" w:cs="Times New Roman"/>
          <w:i/>
          <w:iCs/>
          <w:color w:val="000000"/>
          <w:sz w:val="24"/>
          <w:szCs w:val="24"/>
          <w:shd w:val="clear" w:color="auto" w:fill="FFFFFF"/>
          <w:lang w:val="vi-VN"/>
        </w:rPr>
        <w:t>quy định chi tiết chế độ gặ</w:t>
      </w:r>
      <w:r>
        <w:rPr>
          <w:rFonts w:eastAsia="Calibri" w:cs="Times New Roman"/>
          <w:i/>
          <w:iCs/>
          <w:color w:val="1C2D43"/>
          <w:sz w:val="24"/>
          <w:szCs w:val="24"/>
          <w:shd w:val="clear" w:color="auto" w:fill="FFFFFF"/>
          <w:lang w:val="vi-VN"/>
        </w:rPr>
        <w:t>p, </w:t>
      </w:r>
      <w:r>
        <w:rPr>
          <w:rFonts w:eastAsia="Calibri" w:cs="Times New Roman"/>
          <w:i/>
          <w:iCs/>
          <w:color w:val="000000"/>
          <w:sz w:val="24"/>
          <w:szCs w:val="24"/>
          <w:shd w:val="clear" w:color="auto" w:fill="FFFFFF"/>
          <w:lang w:val="vi-VN"/>
        </w:rPr>
        <w:t>nhận quà và liên lạc của phạm nhâ</w:t>
      </w:r>
      <w:r>
        <w:rPr>
          <w:rFonts w:eastAsia="Calibri" w:cs="Times New Roman"/>
          <w:i/>
          <w:iCs/>
          <w:color w:val="1C2D43"/>
          <w:sz w:val="24"/>
          <w:szCs w:val="24"/>
          <w:shd w:val="clear" w:color="auto" w:fill="FFFFFF"/>
          <w:lang w:val="vi-VN"/>
        </w:rPr>
        <w:t>n</w:t>
      </w:r>
      <w:r>
        <w:rPr>
          <w:rFonts w:eastAsia="Calibri" w:cs="Times New Roman"/>
          <w:i/>
          <w:iCs/>
          <w:color w:val="1C2D43"/>
          <w:sz w:val="24"/>
          <w:szCs w:val="24"/>
          <w:shd w:val="clear" w:color="auto" w:fill="FFFFFF"/>
        </w:rPr>
        <w:t>.</w:t>
      </w:r>
    </w:p>
    <w:p w14:paraId="668B7D79">
      <w:pPr>
        <w:numPr>
          <w:ilvl w:val="0"/>
          <w:numId w:val="1"/>
        </w:numPr>
        <w:tabs>
          <w:tab w:val="left" w:pos="1170"/>
        </w:tabs>
        <w:spacing w:before="120" w:after="120" w:line="400" w:lineRule="exact"/>
        <w:ind w:left="0" w:firstLine="907"/>
        <w:jc w:val="both"/>
        <w:rPr>
          <w:rFonts w:eastAsia="Times New Roman" w:cs="Times New Roman"/>
          <w:sz w:val="24"/>
          <w:szCs w:val="24"/>
        </w:rPr>
      </w:pPr>
      <w:r>
        <w:rPr>
          <w:rFonts w:eastAsia="Calibri" w:cs="Times New Roman"/>
          <w:iCs/>
          <w:color w:val="000000"/>
          <w:sz w:val="24"/>
          <w:szCs w:val="24"/>
          <w:shd w:val="clear" w:color="auto" w:fill="FFFFFF"/>
        </w:rPr>
        <w:t xml:space="preserve">Bộ Công an, </w:t>
      </w:r>
      <w:r>
        <w:rPr>
          <w:rFonts w:eastAsia="Calibri" w:cs="Times New Roman"/>
          <w:i/>
          <w:iCs/>
          <w:color w:val="000000"/>
          <w:sz w:val="24"/>
          <w:szCs w:val="24"/>
          <w:shd w:val="clear" w:color="auto" w:fill="FFFFFF"/>
          <w:lang w:val="vi-VN"/>
        </w:rPr>
        <w:t>Thông tư s</w:t>
      </w:r>
      <w:r>
        <w:rPr>
          <w:rFonts w:eastAsia="Calibri" w:cs="Times New Roman"/>
          <w:i/>
          <w:iCs/>
          <w:color w:val="000000"/>
          <w:sz w:val="24"/>
          <w:szCs w:val="24"/>
          <w:shd w:val="clear" w:color="auto" w:fill="FFFFFF"/>
        </w:rPr>
        <w:t>ố </w:t>
      </w:r>
      <w:r>
        <w:rPr>
          <w:rFonts w:eastAsia="Calibri" w:cs="Times New Roman"/>
          <w:i/>
          <w:iCs/>
          <w:color w:val="000000"/>
          <w:sz w:val="24"/>
          <w:szCs w:val="24"/>
          <w:shd w:val="clear" w:color="auto" w:fill="FFFFFF"/>
          <w:lang w:val="vi-VN"/>
        </w:rPr>
        <w:t>17/2020/TT-BCA ngày 18</w:t>
      </w:r>
      <w:r>
        <w:rPr>
          <w:rFonts w:eastAsia="Calibri" w:cs="Times New Roman"/>
          <w:i/>
          <w:iCs/>
          <w:color w:val="000000"/>
          <w:sz w:val="24"/>
          <w:szCs w:val="24"/>
          <w:shd w:val="clear" w:color="auto" w:fill="FFFFFF"/>
        </w:rPr>
        <w:t>.</w:t>
      </w:r>
      <w:r>
        <w:rPr>
          <w:rFonts w:eastAsia="Calibri" w:cs="Times New Roman"/>
          <w:i/>
          <w:iCs/>
          <w:color w:val="000000"/>
          <w:sz w:val="24"/>
          <w:szCs w:val="24"/>
          <w:shd w:val="clear" w:color="auto" w:fill="FFFFFF"/>
          <w:lang w:val="vi-VN"/>
        </w:rPr>
        <w:t>02</w:t>
      </w:r>
      <w:r>
        <w:rPr>
          <w:rFonts w:eastAsia="Calibri" w:cs="Times New Roman"/>
          <w:i/>
          <w:iCs/>
          <w:color w:val="000000"/>
          <w:sz w:val="24"/>
          <w:szCs w:val="24"/>
          <w:shd w:val="clear" w:color="auto" w:fill="FFFFFF"/>
        </w:rPr>
        <w:t>.</w:t>
      </w:r>
      <w:r>
        <w:rPr>
          <w:rFonts w:eastAsia="Calibri" w:cs="Times New Roman"/>
          <w:i/>
          <w:iCs/>
          <w:color w:val="000000"/>
          <w:sz w:val="24"/>
          <w:szCs w:val="24"/>
          <w:shd w:val="clear" w:color="auto" w:fill="FFFFFF"/>
          <w:lang w:val="vi-VN"/>
        </w:rPr>
        <w:t xml:space="preserve">2020 </w:t>
      </w:r>
      <w:r>
        <w:rPr>
          <w:rFonts w:eastAsia="Calibri" w:cs="Times New Roman"/>
          <w:i/>
          <w:color w:val="000000"/>
          <w:sz w:val="24"/>
          <w:szCs w:val="24"/>
          <w:shd w:val="clear" w:color="auto" w:fill="FFFFFF"/>
        </w:rPr>
        <w:t>quy định Nội quy cơ sở giam giữ phạm nhân.</w:t>
      </w:r>
    </w:p>
    <w:p w14:paraId="10596998">
      <w:pPr>
        <w:numPr>
          <w:ilvl w:val="0"/>
          <w:numId w:val="1"/>
        </w:numPr>
        <w:tabs>
          <w:tab w:val="left" w:pos="1170"/>
        </w:tabs>
        <w:spacing w:before="120" w:after="120" w:line="400" w:lineRule="exact"/>
        <w:ind w:left="0" w:firstLine="907"/>
        <w:jc w:val="both"/>
        <w:rPr>
          <w:rFonts w:eastAsia="Calibri" w:cs="Times New Roman"/>
          <w:color w:val="000000"/>
          <w:sz w:val="24"/>
          <w:szCs w:val="24"/>
          <w:shd w:val="clear" w:color="auto" w:fill="FFFFFF"/>
        </w:rPr>
      </w:pPr>
      <w:r>
        <w:rPr>
          <w:rFonts w:eastAsia="Times New Roman" w:cs="Times New Roman"/>
          <w:sz w:val="24"/>
          <w:szCs w:val="24"/>
        </w:rPr>
        <w:t xml:space="preserve">Chính phủ, </w:t>
      </w:r>
      <w:r>
        <w:rPr>
          <w:rFonts w:eastAsia="Times New Roman" w:cs="Times New Roman"/>
          <w:i/>
          <w:sz w:val="24"/>
          <w:szCs w:val="24"/>
        </w:rPr>
        <w:t>Nghị định s</w:t>
      </w:r>
      <w:r>
        <w:rPr>
          <w:rFonts w:eastAsia="Calibri" w:cs="Times New Roman"/>
          <w:i/>
          <w:color w:val="000000"/>
          <w:sz w:val="24"/>
          <w:szCs w:val="24"/>
          <w:shd w:val="clear" w:color="auto" w:fill="FFFFFF"/>
        </w:rPr>
        <w:t>ố 133/2020/NĐ-CP ngày 09.11.2020 quy định chi tiết một số điều của Luật Thi hành án hình sự.</w:t>
      </w:r>
    </w:p>
    <w:p w14:paraId="5134AF81">
      <w:pPr>
        <w:numPr>
          <w:ilvl w:val="0"/>
          <w:numId w:val="1"/>
        </w:numPr>
        <w:tabs>
          <w:tab w:val="left" w:pos="1170"/>
        </w:tabs>
        <w:spacing w:before="120" w:after="120" w:line="400" w:lineRule="exact"/>
        <w:ind w:left="0" w:firstLine="907"/>
        <w:jc w:val="both"/>
        <w:rPr>
          <w:rFonts w:eastAsia="Times New Roman" w:cs="Times New Roman"/>
          <w:sz w:val="24"/>
          <w:szCs w:val="24"/>
        </w:rPr>
      </w:pPr>
      <w:r>
        <w:rPr>
          <w:rFonts w:eastAsia="Times New Roman" w:cs="Times New Roman"/>
          <w:sz w:val="24"/>
          <w:szCs w:val="24"/>
        </w:rPr>
        <w:t xml:space="preserve">Quốc hội, </w:t>
      </w:r>
      <w:r>
        <w:rPr>
          <w:rFonts w:eastAsia="Calibri" w:cs="Times New Roman"/>
          <w:i/>
          <w:iCs/>
          <w:color w:val="000000"/>
          <w:sz w:val="24"/>
          <w:szCs w:val="24"/>
          <w:shd w:val="clear" w:color="auto" w:fill="FFFFFF"/>
        </w:rPr>
        <w:t>Luật Thi hành án hình sự</w:t>
      </w:r>
      <w:r>
        <w:rPr>
          <w:rFonts w:eastAsia="Times New Roman" w:cs="Times New Roman"/>
          <w:i/>
          <w:sz w:val="24"/>
          <w:szCs w:val="24"/>
        </w:rPr>
        <w:t xml:space="preserve"> số </w:t>
      </w:r>
      <w:r>
        <w:rPr>
          <w:rFonts w:eastAsia="Calibri" w:cs="Times New Roman"/>
          <w:i/>
          <w:color w:val="000000"/>
          <w:sz w:val="24"/>
          <w:szCs w:val="24"/>
          <w:shd w:val="clear" w:color="auto" w:fill="FFFFFF"/>
        </w:rPr>
        <w:t>41/2019/QH14</w:t>
      </w:r>
      <w:r>
        <w:rPr>
          <w:rFonts w:eastAsia="Times New Roman" w:cs="Times New Roman"/>
          <w:i/>
          <w:sz w:val="24"/>
          <w:szCs w:val="24"/>
        </w:rPr>
        <w:t>.</w:t>
      </w:r>
    </w:p>
    <w:p w14:paraId="6D3DC60C">
      <w:pPr>
        <w:numPr>
          <w:ilvl w:val="0"/>
          <w:numId w:val="1"/>
        </w:numPr>
        <w:tabs>
          <w:tab w:val="left" w:pos="1170"/>
        </w:tabs>
        <w:spacing w:before="120" w:after="120" w:line="400" w:lineRule="exact"/>
        <w:ind w:left="0" w:firstLine="907"/>
        <w:jc w:val="both"/>
        <w:rPr>
          <w:rFonts w:eastAsia="Times New Roman" w:cs="Times New Roman"/>
          <w:bCs/>
          <w:iCs/>
          <w:color w:val="000000"/>
          <w:sz w:val="24"/>
          <w:szCs w:val="24"/>
        </w:rPr>
      </w:pPr>
      <w:r>
        <w:rPr>
          <w:rFonts w:eastAsia="Times New Roman" w:cs="Times New Roman"/>
          <w:bCs/>
          <w:iCs/>
          <w:color w:val="000000"/>
          <w:sz w:val="24"/>
          <w:szCs w:val="24"/>
        </w:rPr>
        <w:t xml:space="preserve">Viện Chiến lược và Khoa học Công an, </w:t>
      </w:r>
      <w:r>
        <w:rPr>
          <w:rFonts w:eastAsia="Times New Roman" w:cs="Times New Roman"/>
          <w:bCs/>
          <w:i/>
          <w:iCs/>
          <w:color w:val="000000"/>
          <w:sz w:val="24"/>
          <w:szCs w:val="24"/>
        </w:rPr>
        <w:t>Từ điển bách khoa Công an nhân dân Việt Nam</w:t>
      </w:r>
      <w:r>
        <w:rPr>
          <w:rFonts w:eastAsia="Times New Roman" w:cs="Times New Roman"/>
          <w:bCs/>
          <w:iCs/>
          <w:color w:val="000000"/>
          <w:sz w:val="24"/>
          <w:szCs w:val="24"/>
        </w:rPr>
        <w:t>, Nxb. Công an nhân dân, Hà Nội, 2005.</w:t>
      </w:r>
    </w:p>
    <w:p w14:paraId="1C2BE132">
      <w:bookmarkStart w:id="1" w:name="_GoBack"/>
      <w:bookmarkEnd w:id="1"/>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12938"/>
    <w:multiLevelType w:val="multilevel"/>
    <w:tmpl w:val="6BC1293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32A03D03"/>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4</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2026-07-02T13:41:58Z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